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EFFECT OF VARIOUS CHILDHOOD ANTHROPOMETRIC MEASURES ON ADULTHOOD CAROTID INTIMA-MEDIA THICKNESS: A SYSTEMATIC REVIEW AND META-ANALYSIS </w:t>
      </w:r>
    </w:p>
    <w:p w:rsidR="00061175" w:rsidRDefault="00B921ED" w:rsidP="00061175">
      <w:pPr>
        <w:widowControl w:val="0"/>
        <w:autoSpaceDE w:val="0"/>
        <w:autoSpaceDN w:val="0"/>
        <w:adjustRightInd w:val="0"/>
      </w:pPr>
      <w:r w:rsidRPr="006131BA">
        <w:t>J</w:t>
      </w:r>
      <w:r w:rsidR="00061175" w:rsidRPr="006131BA">
        <w:t>.</w:t>
      </w:r>
      <w:r w:rsidRPr="006131BA">
        <w:t xml:space="preserve"> Kaur</w:t>
      </w:r>
      <w:r w:rsidR="00061175" w:rsidRPr="006131BA">
        <w:rPr>
          <w:vertAlign w:val="superscript"/>
        </w:rPr>
        <w:t>1</w:t>
      </w:r>
      <w:r>
        <w:t xml:space="preserve">, </w:t>
      </w:r>
      <w:r w:rsidRPr="006131BA">
        <w:rPr>
          <w:b/>
          <w:bCs/>
          <w:u w:val="single"/>
        </w:rPr>
        <w:t>S</w:t>
      </w:r>
      <w:r w:rsidR="00061175" w:rsidRPr="006131BA">
        <w:rPr>
          <w:b/>
          <w:bCs/>
          <w:u w:val="single"/>
        </w:rPr>
        <w:t>.</w:t>
      </w:r>
      <w:r w:rsidRPr="006131BA">
        <w:rPr>
          <w:b/>
          <w:bCs/>
          <w:u w:val="single"/>
        </w:rPr>
        <w:t xml:space="preserve"> Singh</w:t>
      </w:r>
      <w:r w:rsidR="00061175" w:rsidRPr="006131BA">
        <w:rPr>
          <w:b/>
          <w:bCs/>
          <w:u w:val="single"/>
          <w:vertAlign w:val="superscript"/>
        </w:rPr>
        <w:t>1</w:t>
      </w:r>
      <w:r>
        <w:t>, P</w:t>
      </w:r>
      <w:r w:rsidR="00061175">
        <w:t>.</w:t>
      </w:r>
      <w:r>
        <w:t xml:space="preserve"> Nieminen</w:t>
      </w:r>
      <w:r w:rsidR="00061175" w:rsidRPr="00061175">
        <w:rPr>
          <w:vertAlign w:val="superscript"/>
        </w:rPr>
        <w:t>4</w:t>
      </w:r>
      <w:r>
        <w:t>, K</w:t>
      </w:r>
      <w:r w:rsidR="00061175">
        <w:t>.</w:t>
      </w:r>
      <w:r>
        <w:t>K</w:t>
      </w:r>
      <w:r w:rsidR="00061175">
        <w:t>.</w:t>
      </w:r>
      <w:r>
        <w:t xml:space="preserve"> Thumburu</w:t>
      </w:r>
      <w:r w:rsidR="00061175" w:rsidRPr="00061175">
        <w:rPr>
          <w:vertAlign w:val="superscript"/>
        </w:rPr>
        <w:t>1</w:t>
      </w:r>
      <w:r>
        <w:t>, A</w:t>
      </w:r>
      <w:r w:rsidR="00061175">
        <w:t>.</w:t>
      </w:r>
      <w:r>
        <w:t xml:space="preserve"> Chauhan</w:t>
      </w:r>
      <w:r w:rsidR="00061175" w:rsidRPr="00061175">
        <w:rPr>
          <w:vertAlign w:val="superscript"/>
        </w:rPr>
        <w:t>1</w:t>
      </w:r>
      <w:r>
        <w:t>, N</w:t>
      </w:r>
      <w:r w:rsidR="00061175">
        <w:t>.</w:t>
      </w:r>
      <w:r>
        <w:t xml:space="preserve"> Jaiswal</w:t>
      </w:r>
      <w:r w:rsidR="00061175" w:rsidRPr="00061175">
        <w:rPr>
          <w:vertAlign w:val="superscript"/>
        </w:rPr>
        <w:t>1</w:t>
      </w:r>
      <w:r>
        <w:t xml:space="preserve">, </w:t>
      </w:r>
    </w:p>
    <w:p w:rsidR="00B921ED" w:rsidRDefault="00B921ED" w:rsidP="00061175">
      <w:pPr>
        <w:widowControl w:val="0"/>
        <w:autoSpaceDE w:val="0"/>
        <w:autoSpaceDN w:val="0"/>
        <w:adjustRightInd w:val="0"/>
      </w:pPr>
      <w:r>
        <w:t>A</w:t>
      </w:r>
      <w:r w:rsidR="00061175">
        <w:t>.</w:t>
      </w:r>
      <w:r>
        <w:t xml:space="preserve"> Agarwal</w:t>
      </w:r>
      <w:r w:rsidR="00061175" w:rsidRPr="00061175">
        <w:rPr>
          <w:vertAlign w:val="superscript"/>
        </w:rPr>
        <w:t>1</w:t>
      </w:r>
      <w:r>
        <w:t xml:space="preserve">, </w:t>
      </w:r>
      <w:bookmarkStart w:id="0" w:name="_GoBack"/>
      <w:bookmarkEnd w:id="0"/>
      <w:r>
        <w:t>M</w:t>
      </w:r>
      <w:r w:rsidR="00061175">
        <w:t>.</w:t>
      </w:r>
      <w:r>
        <w:t xml:space="preserve"> Singh</w:t>
      </w:r>
      <w:r w:rsidR="00061175" w:rsidRPr="00061175">
        <w:rPr>
          <w:vertAlign w:val="superscript"/>
        </w:rPr>
        <w:t>2</w:t>
      </w:r>
      <w:r>
        <w:t>, N</w:t>
      </w:r>
      <w:r w:rsidR="00061175">
        <w:t>.</w:t>
      </w:r>
      <w:r>
        <w:t xml:space="preserve"> Paul</w:t>
      </w:r>
      <w:r w:rsidR="00061175" w:rsidRPr="00061175">
        <w:rPr>
          <w:vertAlign w:val="superscript"/>
        </w:rPr>
        <w:t>3</w:t>
      </w:r>
      <w:r>
        <w:t>, S</w:t>
      </w:r>
      <w:r w:rsidR="00061175">
        <w:t>.</w:t>
      </w:r>
      <w:r>
        <w:t xml:space="preserve"> Sagwal</w:t>
      </w:r>
      <w:r w:rsidR="00061175" w:rsidRPr="00061175">
        <w:rPr>
          <w:vertAlign w:val="superscript"/>
        </w:rPr>
        <w:t>3</w:t>
      </w:r>
    </w:p>
    <w:p w:rsidR="00061175" w:rsidRPr="00061175" w:rsidRDefault="00061175" w:rsidP="0006117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1175">
        <w:rPr>
          <w:color w:val="000000"/>
          <w:sz w:val="22"/>
          <w:szCs w:val="22"/>
        </w:rPr>
        <w:t xml:space="preserve">1. </w:t>
      </w:r>
      <w:r w:rsidR="00B921ED" w:rsidRPr="00061175">
        <w:rPr>
          <w:color w:val="000000"/>
          <w:sz w:val="22"/>
          <w:szCs w:val="22"/>
        </w:rPr>
        <w:t>ICMR Advanced Centre for Evidenced Based Child Health, Advanced Pediatric Centre, PGIMER, Chandigarh, India</w:t>
      </w:r>
    </w:p>
    <w:p w:rsidR="00061175" w:rsidRPr="00061175" w:rsidRDefault="00061175" w:rsidP="0006117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1175">
        <w:rPr>
          <w:color w:val="000000"/>
          <w:sz w:val="22"/>
          <w:szCs w:val="22"/>
        </w:rPr>
        <w:t xml:space="preserve">2. </w:t>
      </w:r>
      <w:r w:rsidR="00B921ED" w:rsidRPr="00061175">
        <w:rPr>
          <w:color w:val="000000"/>
          <w:sz w:val="22"/>
          <w:szCs w:val="22"/>
        </w:rPr>
        <w:t>Department of Pediatrics and ICMR Advanced Centre for Evidenced Based Child Health, Advanced Pediatric Centre, PGIMER, Chandigarh, India</w:t>
      </w:r>
    </w:p>
    <w:p w:rsidR="00061175" w:rsidRPr="00061175" w:rsidRDefault="00061175" w:rsidP="0006117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1175">
        <w:rPr>
          <w:color w:val="000000"/>
          <w:sz w:val="22"/>
          <w:szCs w:val="22"/>
        </w:rPr>
        <w:t xml:space="preserve">3. </w:t>
      </w:r>
      <w:r w:rsidR="00B921ED" w:rsidRPr="00061175">
        <w:rPr>
          <w:color w:val="000000"/>
          <w:sz w:val="22"/>
          <w:szCs w:val="22"/>
        </w:rPr>
        <w:t>Department of Pediatrics, Advanced Pediatric Centre, PGIMER, Chandigarh, India</w:t>
      </w:r>
    </w:p>
    <w:p w:rsidR="00B921ED" w:rsidRPr="00061175" w:rsidRDefault="00061175" w:rsidP="00061175">
      <w:pPr>
        <w:widowControl w:val="0"/>
        <w:autoSpaceDE w:val="0"/>
        <w:autoSpaceDN w:val="0"/>
        <w:adjustRightInd w:val="0"/>
        <w:rPr>
          <w:color w:val="503820"/>
          <w:sz w:val="22"/>
          <w:szCs w:val="22"/>
        </w:rPr>
      </w:pPr>
      <w:r w:rsidRPr="00061175">
        <w:rPr>
          <w:color w:val="000000"/>
          <w:sz w:val="22"/>
          <w:szCs w:val="22"/>
        </w:rPr>
        <w:t xml:space="preserve">4. </w:t>
      </w:r>
      <w:r w:rsidR="00B921ED" w:rsidRPr="00061175">
        <w:rPr>
          <w:color w:val="000000"/>
          <w:sz w:val="22"/>
          <w:szCs w:val="22"/>
        </w:rPr>
        <w:t>Medical Informatics and Statistics Group, University of Oulu, Oulu, Finland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6A3FD4" w:rsidRDefault="00B921ED">
      <w:pPr>
        <w:widowControl w:val="0"/>
        <w:autoSpaceDE w:val="0"/>
        <w:autoSpaceDN w:val="0"/>
        <w:adjustRightInd w:val="0"/>
        <w:jc w:val="both"/>
      </w:pPr>
      <w:r w:rsidRPr="006A3FD4">
        <w:rPr>
          <w:i/>
          <w:iCs/>
        </w:rPr>
        <w:t>Background</w:t>
      </w:r>
      <w:r>
        <w:t>: Various studies have examined the effect of different childhood anthropometric measures on adulthood preclinical atherosclerosis measured as carotid intima-media thickness (</w:t>
      </w:r>
      <w:proofErr w:type="spellStart"/>
      <w:r>
        <w:t>cIMT</w:t>
      </w:r>
      <w:proofErr w:type="spellEnd"/>
      <w:r>
        <w:t xml:space="preserve">). </w:t>
      </w:r>
    </w:p>
    <w:p w:rsidR="006A3FD4" w:rsidRDefault="00B921ED">
      <w:pPr>
        <w:widowControl w:val="0"/>
        <w:autoSpaceDE w:val="0"/>
        <w:autoSpaceDN w:val="0"/>
        <w:adjustRightInd w:val="0"/>
        <w:jc w:val="both"/>
      </w:pPr>
      <w:r w:rsidRPr="006A3FD4">
        <w:rPr>
          <w:i/>
          <w:iCs/>
        </w:rPr>
        <w:t>Objectives</w:t>
      </w:r>
      <w:r>
        <w:t xml:space="preserve">: We aimed to establish summary estimates for the relationship between childhood anthropometric measures and adulthood </w:t>
      </w:r>
      <w:proofErr w:type="spellStart"/>
      <w:r>
        <w:t>cIMT</w:t>
      </w:r>
      <w:proofErr w:type="spellEnd"/>
      <w:r>
        <w:t>.</w:t>
      </w:r>
    </w:p>
    <w:p w:rsidR="006A3FD4" w:rsidRDefault="00B921ED">
      <w:pPr>
        <w:widowControl w:val="0"/>
        <w:autoSpaceDE w:val="0"/>
        <w:autoSpaceDN w:val="0"/>
        <w:adjustRightInd w:val="0"/>
        <w:jc w:val="both"/>
      </w:pPr>
      <w:r w:rsidRPr="006A3FD4">
        <w:rPr>
          <w:i/>
          <w:iCs/>
        </w:rPr>
        <w:t>Methods</w:t>
      </w:r>
      <w:r>
        <w:t xml:space="preserve">: A systematic literature search was conducted to identify studies which assessed the relationship between childhood anthropometric measures and adulthood </w:t>
      </w:r>
      <w:proofErr w:type="spellStart"/>
      <w:r>
        <w:t>cIMT</w:t>
      </w:r>
      <w:proofErr w:type="spellEnd"/>
      <w:r>
        <w:t xml:space="preserve">. We included studies which enrolled children and adolescents between ages 6 months to 19 years and followed them up for at least 4 years. For the meta-analysis, the effect sizes were first converted into a common effect size, standardized regression coefficients. </w:t>
      </w:r>
    </w:p>
    <w:p w:rsidR="006A3FD4" w:rsidRDefault="00B921ED">
      <w:pPr>
        <w:widowControl w:val="0"/>
        <w:autoSpaceDE w:val="0"/>
        <w:autoSpaceDN w:val="0"/>
        <w:adjustRightInd w:val="0"/>
        <w:jc w:val="both"/>
      </w:pPr>
      <w:r w:rsidRPr="006A3FD4">
        <w:rPr>
          <w:i/>
          <w:iCs/>
        </w:rPr>
        <w:t>Results</w:t>
      </w:r>
      <w:r>
        <w:t xml:space="preserve">: Of the 121 studies found, twelve studies were included in the meta-analysis for the association between childhood BMI and adulthood </w:t>
      </w:r>
      <w:proofErr w:type="spellStart"/>
      <w:r>
        <w:t>cIMT</w:t>
      </w:r>
      <w:proofErr w:type="spellEnd"/>
      <w:r>
        <w:t xml:space="preserve">. A 1 SD increase in adolescent BMI increased early adulthood </w:t>
      </w:r>
      <w:proofErr w:type="spellStart"/>
      <w:r>
        <w:t>cIMT</w:t>
      </w:r>
      <w:proofErr w:type="spellEnd"/>
      <w:r>
        <w:t xml:space="preserve"> (20-45 years) by 0.06 mm (95% CI= 0.04, 0.07) and a 1 SD increase in BMI during childhood and adolescent lead to an increase of 0.10 mm (95% CI= 0.07, 0.12) in early adulthood </w:t>
      </w:r>
      <w:proofErr w:type="spellStart"/>
      <w:r>
        <w:t>cIMT</w:t>
      </w:r>
      <w:proofErr w:type="spellEnd"/>
      <w:r>
        <w:t xml:space="preserve">. A total of seven studies were included to examine the relationship between childhood and adulthood BMI on adulthood </w:t>
      </w:r>
      <w:proofErr w:type="spellStart"/>
      <w:r>
        <w:t>cIMT</w:t>
      </w:r>
      <w:proofErr w:type="spellEnd"/>
      <w:r>
        <w:t xml:space="preserve">. The pooled findings showed that subjects who were overweight/obese as children and adults had significantly higher </w:t>
      </w:r>
      <w:proofErr w:type="spellStart"/>
      <w:r>
        <w:t>cIMT</w:t>
      </w:r>
      <w:proofErr w:type="spellEnd"/>
      <w:r>
        <w:t xml:space="preserve"> measurements than subjects who were who always had normal BMI. Also, the subjects who were overweight/obese as children but had normal BMI as adults had </w:t>
      </w:r>
      <w:proofErr w:type="spellStart"/>
      <w:r>
        <w:t>cIMT</w:t>
      </w:r>
      <w:proofErr w:type="spellEnd"/>
      <w:r>
        <w:t xml:space="preserve"> measurements similar to those subjects who always had normal BMI. Both childhood weight and skinfold thickness were found to have a positive relationship with adult </w:t>
      </w:r>
      <w:proofErr w:type="spellStart"/>
      <w:r>
        <w:t>cIMT</w:t>
      </w:r>
      <w:proofErr w:type="spellEnd"/>
      <w:r>
        <w:t xml:space="preserve">. </w:t>
      </w:r>
    </w:p>
    <w:p w:rsidR="006A3FD4" w:rsidRDefault="00B921ED">
      <w:pPr>
        <w:widowControl w:val="0"/>
        <w:autoSpaceDE w:val="0"/>
        <w:autoSpaceDN w:val="0"/>
        <w:adjustRightInd w:val="0"/>
        <w:jc w:val="both"/>
      </w:pPr>
      <w:r w:rsidRPr="006A3FD4">
        <w:rPr>
          <w:i/>
          <w:iCs/>
        </w:rPr>
        <w:t>Conclusion</w:t>
      </w:r>
      <w:r>
        <w:t xml:space="preserve">: Not only BMI but other childhood anthropometric measures have been shown to have an effect adulthood </w:t>
      </w:r>
      <w:proofErr w:type="spellStart"/>
      <w:r>
        <w:t>cIMT</w:t>
      </w:r>
      <w:proofErr w:type="spellEnd"/>
      <w:r>
        <w:t>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Acknowledgments: WHO, Geneva, Switzerland; ICMR, New Delhi, India; International Childhood Cardiovascular Cohort Consortium (i3C)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28" w:rsidRDefault="00E66728" w:rsidP="00C02C88">
      <w:r>
        <w:separator/>
      </w:r>
    </w:p>
  </w:endnote>
  <w:endnote w:type="continuationSeparator" w:id="0">
    <w:p w:rsidR="00E66728" w:rsidRDefault="00E66728" w:rsidP="00C0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28" w:rsidRDefault="00E66728" w:rsidP="00C02C88">
      <w:r>
        <w:separator/>
      </w:r>
    </w:p>
  </w:footnote>
  <w:footnote w:type="continuationSeparator" w:id="0">
    <w:p w:rsidR="00E66728" w:rsidRDefault="00E66728" w:rsidP="00C0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88" w:rsidRDefault="00061175" w:rsidP="00061175">
    <w:pPr>
      <w:pStyle w:val="Header"/>
    </w:pPr>
    <w:r>
      <w:t xml:space="preserve">1276     either 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Primary prevention of CAD in the healthy adult &amp; children</w:t>
    </w:r>
  </w:p>
  <w:p w:rsidR="00C02C88" w:rsidRDefault="00C02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61175"/>
    <w:rsid w:val="00447B2F"/>
    <w:rsid w:val="006131BA"/>
    <w:rsid w:val="006A3FD4"/>
    <w:rsid w:val="00B921ED"/>
    <w:rsid w:val="00C02C88"/>
    <w:rsid w:val="00D4258F"/>
    <w:rsid w:val="00E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7C931B-43CC-48E8-94E7-FBF9120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5</cp:revision>
  <dcterms:created xsi:type="dcterms:W3CDTF">2016-03-21T13:28:00Z</dcterms:created>
  <dcterms:modified xsi:type="dcterms:W3CDTF">2016-06-23T13:20:00Z</dcterms:modified>
</cp:coreProperties>
</file>